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4B8" w:rsidRPr="00787BF1" w:rsidRDefault="00B664B8" w:rsidP="00B664B8">
      <w:pPr>
        <w:pStyle w:val="Heading2"/>
      </w:pPr>
      <w:bookmarkStart w:id="0" w:name="_Toc155342853"/>
      <w:bookmarkStart w:id="1" w:name="_GoBack"/>
      <w:r w:rsidRPr="00787BF1">
        <w:rPr>
          <w:rFonts w:eastAsia="SimSun"/>
          <w:b/>
          <w:bCs/>
          <w:sz w:val="24"/>
          <w:szCs w:val="24"/>
        </w:rPr>
        <w:t>175. LAO ĐỘNG DI TRÚ</w:t>
      </w:r>
      <w:bookmarkEnd w:id="1"/>
      <w:r w:rsidRPr="00787BF1">
        <w:rPr>
          <w:rFonts w:eastAsia="SimSun"/>
          <w:sz w:val="24"/>
          <w:szCs w:val="24"/>
        </w:rPr>
        <w:t xml:space="preserve">, </w:t>
      </w:r>
      <w:r w:rsidRPr="00787BF1">
        <w:t>một người đã, đang và sẽ làm một công việc có hưởng lương tại một quốc gia mà người đó không phải là công dân.</w:t>
      </w:r>
      <w:bookmarkEnd w:id="0"/>
    </w:p>
    <w:p w:rsidR="00B664B8" w:rsidRPr="00787BF1" w:rsidRDefault="00B664B8" w:rsidP="00B664B8">
      <w:pPr>
        <w:spacing w:before="120"/>
        <w:ind w:firstLine="284"/>
        <w:jc w:val="both"/>
        <w:rPr>
          <w:szCs w:val="28"/>
        </w:rPr>
      </w:pPr>
      <w:r w:rsidRPr="00787BF1">
        <w:rPr>
          <w:szCs w:val="28"/>
        </w:rPr>
        <w:t xml:space="preserve">LĐDT </w:t>
      </w:r>
      <w:r w:rsidRPr="00787BF1">
        <w:rPr>
          <w:i/>
          <w:szCs w:val="28"/>
        </w:rPr>
        <w:t xml:space="preserve">(migrant worker - </w:t>
      </w:r>
      <w:r w:rsidRPr="00787BF1">
        <w:rPr>
          <w:szCs w:val="28"/>
        </w:rPr>
        <w:t xml:space="preserve">còn gọi là lao động di cư, lao động di cư quốc tế - </w:t>
      </w:r>
      <w:r w:rsidRPr="00787BF1">
        <w:rPr>
          <w:i/>
          <w:szCs w:val="28"/>
        </w:rPr>
        <w:t>international mingrant worker, oversea mingrant worker</w:t>
      </w:r>
      <w:r w:rsidRPr="00787BF1">
        <w:rPr>
          <w:szCs w:val="28"/>
        </w:rPr>
        <w:t>) là một nhóm đối tượng dễ bị tổn thương, được bảo vệ theo Công ước quốc tế về bảo vệ các quyền của tất cả người lao động di trú và các thành viên gia đình họ (ICRMW năm 1990) và một số công ước của Tổ chức Lao động quốc tế (ILO); ví dụ như Công ước số 97 về lao động di trú, Công ước số 143 về Người di trú trong môi trường bị lạm dụng và việc thúc đẩy sự bình đẳng về cơ hội và trong đối xử với người lao động di trú.</w:t>
      </w:r>
    </w:p>
    <w:p w:rsidR="00B664B8" w:rsidRPr="00787BF1" w:rsidRDefault="00B664B8" w:rsidP="00B664B8">
      <w:pPr>
        <w:spacing w:before="120"/>
        <w:ind w:firstLine="284"/>
        <w:jc w:val="both"/>
        <w:rPr>
          <w:szCs w:val="28"/>
        </w:rPr>
      </w:pPr>
      <w:r w:rsidRPr="00787BF1">
        <w:rPr>
          <w:szCs w:val="28"/>
        </w:rPr>
        <w:t xml:space="preserve">Trong bối cảnh toàn cầu hóa, việc dịch chuyển lao động xuyên biên giới đã trở thành xu hướng phổ biến nên tỷ lệ người LĐDT ngày càng tăng lên trong những thập kỷ gần đây. </w:t>
      </w:r>
    </w:p>
    <w:p w:rsidR="00B664B8" w:rsidRPr="00787BF1" w:rsidRDefault="00B664B8" w:rsidP="00B664B8">
      <w:pPr>
        <w:spacing w:before="120"/>
        <w:ind w:firstLine="284"/>
        <w:jc w:val="both"/>
        <w:rPr>
          <w:szCs w:val="28"/>
        </w:rPr>
      </w:pPr>
      <w:r w:rsidRPr="00787BF1">
        <w:rPr>
          <w:szCs w:val="28"/>
        </w:rPr>
        <w:t>LĐDT</w:t>
      </w:r>
      <w:r w:rsidRPr="00787BF1" w:rsidDel="00E16387">
        <w:rPr>
          <w:szCs w:val="28"/>
        </w:rPr>
        <w:t xml:space="preserve"> </w:t>
      </w:r>
      <w:r w:rsidRPr="00787BF1">
        <w:rPr>
          <w:szCs w:val="28"/>
        </w:rPr>
        <w:t>là người làm việc có hưởng lương ở nước ngoài, song không phải bất kỳ ai làm việc có hưởng lương tại một quốc gia mà người đó không phải là công dân đều được coi là LĐDT. Điều 3 của Công ước quốc tế về bảo vệ các quyền của tất cả người lao động di trú và các thành viên gia đình họ đã loại trừ 6 trường hợp không được công nhận là LĐDT, đó là: (1) Những người được cử hoặc tuyển dụng bởi các cơ quan và tổ chức quốc tế, hoặc bởi một nước sang một nước khác để thực hiện các chức năng chính thức mà việc tuyển dụng người đó và địa vị của người đó được điều chỉnh bởi pháp luật quốc tế hoặc các hiệp định hay công ước quốc tế cụ thể; (2) Những người được cử hoặc tuyển dụng bởi một nước hoặc người thay mặt cho nước đó ở nước ngoài tham gia các chương trình phát triển và các chương trình hợp tác khác mà việc tiếp nhận và địa vị của người đó được điều chỉnh theo thỏa thuận với quốc gia nơi có việc làm mà theo thỏa thuận ấy người đó không được coi là người lao độ</w:t>
      </w:r>
      <w:r>
        <w:rPr>
          <w:szCs w:val="28"/>
        </w:rPr>
        <w:t>ng di trú; (3)</w:t>
      </w:r>
      <w:r w:rsidRPr="00787BF1">
        <w:rPr>
          <w:szCs w:val="28"/>
        </w:rPr>
        <w:t xml:space="preserve"> Những người sống thường trú ở một nước không phải quốc gia xuất xứ để làm việc như những nhà đầu tư; (4) Những người tỵ nạn và người không có quốc tịch, trừ khi việc áp dụng Công ước này được quy định trong pháp luật của quốc gia liên quan, hoặc theo các văn kiện quốc tế đang có hiệu lực đối với quốc gia thành viên liên quan; (5) Sinh viên và học viên; (6) Những người đi biển hay người làm việc trên các công trình trên biển không được nhận vào để cư trú và tham gia vào một công việc có hưởng lương ở quốc gia nơi có việc làm.</w:t>
      </w:r>
    </w:p>
    <w:p w:rsidR="00B664B8" w:rsidRPr="00787BF1" w:rsidRDefault="00B664B8" w:rsidP="00B664B8">
      <w:pPr>
        <w:spacing w:before="120"/>
        <w:ind w:firstLine="284"/>
        <w:jc w:val="both"/>
        <w:rPr>
          <w:szCs w:val="28"/>
        </w:rPr>
      </w:pPr>
      <w:r w:rsidRPr="00787BF1">
        <w:rPr>
          <w:szCs w:val="28"/>
        </w:rPr>
        <w:t>LĐDT đóng vai trò to lớn trong việc thúc đẩy sự phát triển kinh tế của cả quốc gia xuất xứ lao động và quốc gia tiếp nhận lao động. Đối với quốc gia xuất xứ, lực lượng LĐDT</w:t>
      </w:r>
      <w:r w:rsidRPr="00787BF1" w:rsidDel="00E16387">
        <w:rPr>
          <w:szCs w:val="28"/>
        </w:rPr>
        <w:t xml:space="preserve"> </w:t>
      </w:r>
      <w:r w:rsidRPr="00787BF1">
        <w:rPr>
          <w:szCs w:val="28"/>
        </w:rPr>
        <w:t>gửi tiền công về cho gia đình họ, góp phần làm tăng nguồn thu ngoại tệ cho đất nước, trong khi đối với quốc gia tiếp nhận lao động, người LĐDT góp phần bù đắp sự thiếu hụt nguồn nhân lực, bảo đảm sự phát triển của nền kinh tế.</w:t>
      </w:r>
    </w:p>
    <w:p w:rsidR="00B664B8" w:rsidRPr="00787BF1" w:rsidRDefault="00B664B8" w:rsidP="00B664B8">
      <w:pPr>
        <w:spacing w:before="120"/>
        <w:ind w:firstLine="284"/>
        <w:jc w:val="both"/>
        <w:rPr>
          <w:szCs w:val="28"/>
        </w:rPr>
      </w:pPr>
      <w:r w:rsidRPr="00787BF1">
        <w:rPr>
          <w:szCs w:val="28"/>
        </w:rPr>
        <w:t>Mặc dù vậy, LĐDT thường bị bóc lột và phân biệt đối xử khi làm việc ở nước ngoài. Bởi vậy, Công ước quốc tế về bảo vệ các quyền của tất cả người lao động di trú và các thành viên gia đình họ</w:t>
      </w:r>
      <w:r w:rsidRPr="00787BF1" w:rsidDel="00E16387">
        <w:rPr>
          <w:szCs w:val="28"/>
        </w:rPr>
        <w:t xml:space="preserve"> </w:t>
      </w:r>
      <w:r w:rsidRPr="00787BF1">
        <w:rPr>
          <w:szCs w:val="28"/>
        </w:rPr>
        <w:t xml:space="preserve">và các Công ước số 97 và 143 của ILO được xây dựng để bảo vệ các quyền con người cơ bản của họ. Điều 4 Công ước quốc tế </w:t>
      </w:r>
      <w:r w:rsidRPr="00787BF1">
        <w:rPr>
          <w:szCs w:val="28"/>
        </w:rPr>
        <w:lastRenderedPageBreak/>
        <w:t xml:space="preserve">về bảo vệ các quyền của tất cả người lao động di trú và các thành viên gia đình họ còn mở rộng sự bảo vệ đến “các thành viên trong gia đình là những người kết hôn với những người LĐDT hoặc có quan hệ tương tự như quan hệ hôn nhân cũng như con cái và những người sống phụ thuộc khác được công nhận là thành viên của gia đình theo pháp luật hiện hành và theo các hiệp định song phương và đa phương giữa các quốc gia liên quan”. </w:t>
      </w:r>
    </w:p>
    <w:p w:rsidR="00B664B8" w:rsidRPr="00787BF1" w:rsidRDefault="00B664B8" w:rsidP="00B664B8">
      <w:pPr>
        <w:spacing w:before="120"/>
        <w:ind w:firstLine="284"/>
        <w:jc w:val="both"/>
        <w:rPr>
          <w:szCs w:val="28"/>
        </w:rPr>
      </w:pPr>
      <w:r w:rsidRPr="00787BF1">
        <w:rPr>
          <w:szCs w:val="28"/>
        </w:rPr>
        <w:t>Việc bảo vệ các quyền của người LĐDT trong Công ước quốc tế về bảo vệ các quyền của tất cả người lao động di trú và các thành viên gia đình họ</w:t>
      </w:r>
      <w:r w:rsidRPr="00787BF1" w:rsidDel="00E16387">
        <w:rPr>
          <w:szCs w:val="28"/>
        </w:rPr>
        <w:t xml:space="preserve"> </w:t>
      </w:r>
      <w:r w:rsidRPr="00787BF1">
        <w:rPr>
          <w:szCs w:val="28"/>
        </w:rPr>
        <w:t>được xác định dựa trên 3 nguyên tắc chủ đạo đó là: i) Nguyên tắc không phân biệt đối xử (Điều 1), theo đó mọi người LĐDT và các thành viên trong gia đình của họ đều được đối xử bình đẳng, không bị phân biệt đối xử bất lợi dựa trên bất kỳ yếu tố bất hợp lý nào. ii) Nguyên tắc đối xử quốc gia (</w:t>
      </w:r>
      <w:r w:rsidRPr="00787BF1">
        <w:rPr>
          <w:i/>
          <w:szCs w:val="28"/>
        </w:rPr>
        <w:t>national treatment</w:t>
      </w:r>
      <w:r w:rsidRPr="00787BF1">
        <w:rPr>
          <w:szCs w:val="28"/>
        </w:rPr>
        <w:t xml:space="preserve"> - Điều 25), theo đó, mọi người LĐDT được hưởng sự đối xử bình đẳng như các công dân của quốc gia nơi họ đang làm việc; iii) Nguyên tắc về việc áp dụng các quyền trong suốt quá trình di trú lao động, cả trong thời gian chuẩn bị đi lao động, trong quá trình di chuyển, khi đang làm việc ở nước ngoài, và khi hồi hương (Điều 1).</w:t>
      </w:r>
    </w:p>
    <w:p w:rsidR="00B664B8" w:rsidRPr="00787BF1" w:rsidRDefault="00B664B8" w:rsidP="00B664B8">
      <w:pPr>
        <w:spacing w:before="120"/>
        <w:ind w:firstLine="284"/>
        <w:jc w:val="both"/>
        <w:rPr>
          <w:szCs w:val="28"/>
        </w:rPr>
      </w:pPr>
      <w:r w:rsidRPr="00787BF1">
        <w:rPr>
          <w:szCs w:val="28"/>
        </w:rPr>
        <w:t>Mặc dù vậy, để khuyến khích di trú lao động hợp pháp, an toàn, Công ước quốc tế về bảo vệ các quyền của tất cả người lao động di trú và các thành viên gia đình họ</w:t>
      </w:r>
      <w:r w:rsidRPr="00787BF1" w:rsidDel="00E16387">
        <w:rPr>
          <w:szCs w:val="28"/>
        </w:rPr>
        <w:t xml:space="preserve"> </w:t>
      </w:r>
      <w:r w:rsidRPr="00787BF1">
        <w:rPr>
          <w:szCs w:val="28"/>
        </w:rPr>
        <w:t>ghi nhận các quyền của người LĐDT theo từng nhóm, tương ứng với tình trạng pháp lý của họ. Nhóm thứ nhất là các quyền con người cơ bản áp dụng chung cho tất cả LĐDT và các thành viên gia đình họ, kể cả những người có giấy tờ hợp pháp (</w:t>
      </w:r>
      <w:r w:rsidRPr="00787BF1">
        <w:rPr>
          <w:i/>
          <w:szCs w:val="28"/>
        </w:rPr>
        <w:t>documented migrant workers</w:t>
      </w:r>
      <w:r w:rsidRPr="00787BF1">
        <w:rPr>
          <w:szCs w:val="28"/>
        </w:rPr>
        <w:t>) và những người không có giấy tờ hợp pháp (</w:t>
      </w:r>
      <w:r w:rsidRPr="00787BF1">
        <w:rPr>
          <w:i/>
          <w:szCs w:val="28"/>
        </w:rPr>
        <w:t>undocumented migrant workers</w:t>
      </w:r>
      <w:r w:rsidRPr="00787BF1">
        <w:rPr>
          <w:szCs w:val="28"/>
        </w:rPr>
        <w:t xml:space="preserve">). Nhóm thứ hai là những quyền bổ sung cho người LĐDT và các thành viên gia đình họ mà có giấy tờ hợp pháp. </w:t>
      </w:r>
    </w:p>
    <w:p w:rsidR="00B664B8" w:rsidRPr="00787BF1" w:rsidRDefault="00B664B8" w:rsidP="00B664B8">
      <w:pPr>
        <w:spacing w:before="120"/>
        <w:ind w:firstLine="284"/>
        <w:jc w:val="both"/>
        <w:rPr>
          <w:szCs w:val="28"/>
        </w:rPr>
      </w:pPr>
      <w:r w:rsidRPr="00787BF1">
        <w:rPr>
          <w:szCs w:val="28"/>
        </w:rPr>
        <w:t>Ngoài các điều ước quốc tế có hiệu lực toàn cầu kể trên, nhiều tổ chức khu vực cũng ban hành văn bản pháp luật riêng về bảo vệ quyền của người LĐDT. Ví dụ, Hiệp hội các quốc gia Đông Nam Á đã thông qua Tuyên bố ASEAN về Bảo vệ và thúc đẩy các quyền của người LĐDT vào năm 2007, trong đó quy định trách nhiệm của các quốc gia trong khối về việc bảo vệ quyền của người LĐDT, kể cả người LĐDTkhông có giấy tờ hợp pháp. Mặc dù Tuyên bố này không có tính ràng buộc về mặt nghĩa vụ pháp lý, song nó đã thể hiện ý chí chung của các nước ASEAN trong việc thúc đẩy và bảo về quyền của nhóm này và đặt ra một lộ trình cho một thỏa thuận khung trong khu vực về người LĐDT.</w:t>
      </w:r>
    </w:p>
    <w:p w:rsidR="00B664B8" w:rsidRPr="00787BF1" w:rsidRDefault="00B664B8" w:rsidP="00B664B8">
      <w:pPr>
        <w:spacing w:before="120"/>
        <w:ind w:firstLine="284"/>
        <w:jc w:val="both"/>
        <w:rPr>
          <w:szCs w:val="28"/>
        </w:rPr>
      </w:pPr>
      <w:r w:rsidRPr="00787BF1">
        <w:rPr>
          <w:szCs w:val="28"/>
        </w:rPr>
        <w:t xml:space="preserve">Đảng và Nhà nước Việt Nam đã có sự quan tâm đặc biệt đối với quyền của người LĐDT. Khuôn khổ pháp luật về vấn đề này đã được xây dựng và sửa đổi, kịp thời bổ sung cho phù hợp với tình hình thực tiễn. </w:t>
      </w:r>
    </w:p>
    <w:p w:rsidR="00B664B8" w:rsidRPr="00787BF1" w:rsidRDefault="00B664B8" w:rsidP="00B664B8">
      <w:pPr>
        <w:spacing w:before="120"/>
        <w:ind w:firstLine="284"/>
        <w:jc w:val="both"/>
        <w:rPr>
          <w:szCs w:val="28"/>
        </w:rPr>
      </w:pPr>
      <w:r w:rsidRPr="00787BF1">
        <w:rPr>
          <w:szCs w:val="28"/>
        </w:rPr>
        <w:t xml:space="preserve">Pháp luật Việt nam ghi nhận LĐDT là “người Việt Nam đi làm việc ở nước ngoài theo hợp đồng lao động”. Việc bảo vệ quyền của LĐDT được ghi nhận trong các nguyên tắc, quy định của Hiến pháp, Bộ luật Lao động và Luật Người lao động Việt Nam đi làm việc ở nước ngoài theo hợp đồng lao động. Pháp luật Việt Nam có các quy định rõ ràng về quyền của người LĐDT, chính sách bảo đảm quyền của người LĐDT, trách nhiệm của doanh nghiệp thực hiện hoạt động đưa người lao động đi làm việc ở nước ngoài. </w:t>
      </w:r>
    </w:p>
    <w:p w:rsidR="00B664B8" w:rsidRPr="00787BF1" w:rsidRDefault="00B664B8" w:rsidP="00B664B8">
      <w:pPr>
        <w:spacing w:before="120"/>
        <w:ind w:firstLine="284"/>
        <w:jc w:val="right"/>
        <w:rPr>
          <w:b/>
          <w:sz w:val="22"/>
        </w:rPr>
      </w:pPr>
      <w:r w:rsidRPr="00787BF1">
        <w:rPr>
          <w:b/>
          <w:sz w:val="22"/>
        </w:rPr>
        <w:lastRenderedPageBreak/>
        <w:t>CAO THỊ OANH</w:t>
      </w:r>
    </w:p>
    <w:p w:rsidR="00B664B8" w:rsidRPr="00787BF1" w:rsidRDefault="00B664B8" w:rsidP="00B664B8">
      <w:pPr>
        <w:spacing w:before="120"/>
        <w:ind w:firstLine="284"/>
        <w:jc w:val="both"/>
        <w:rPr>
          <w:b/>
          <w:szCs w:val="28"/>
        </w:rPr>
      </w:pPr>
      <w:r w:rsidRPr="00787BF1">
        <w:rPr>
          <w:b/>
          <w:sz w:val="24"/>
          <w:szCs w:val="24"/>
        </w:rPr>
        <w:t>Tài liệu tham khảo:</w:t>
      </w:r>
    </w:p>
    <w:p w:rsidR="00B664B8" w:rsidRPr="00787BF1" w:rsidRDefault="00B664B8" w:rsidP="00B664B8">
      <w:pPr>
        <w:numPr>
          <w:ilvl w:val="0"/>
          <w:numId w:val="1"/>
        </w:numPr>
        <w:tabs>
          <w:tab w:val="left" w:pos="567"/>
        </w:tabs>
        <w:spacing w:before="120"/>
        <w:ind w:left="0" w:firstLine="284"/>
        <w:contextualSpacing/>
        <w:jc w:val="both"/>
        <w:rPr>
          <w:bCs/>
          <w:kern w:val="28"/>
          <w:sz w:val="24"/>
          <w:szCs w:val="24"/>
        </w:rPr>
      </w:pPr>
      <w:r w:rsidRPr="00787BF1">
        <w:rPr>
          <w:bCs/>
          <w:kern w:val="28"/>
          <w:sz w:val="24"/>
          <w:szCs w:val="24"/>
        </w:rPr>
        <w:t>Khoa Luật, Đại học Quốc gia Hà Nội,</w:t>
      </w:r>
      <w:r w:rsidRPr="00787BF1">
        <w:rPr>
          <w:bCs/>
          <w:i/>
          <w:kern w:val="28"/>
          <w:sz w:val="24"/>
          <w:szCs w:val="24"/>
        </w:rPr>
        <w:t xml:space="preserve"> Giáo trình Lý luận và pháp luật về Quyền con người</w:t>
      </w:r>
      <w:r w:rsidRPr="00787BF1">
        <w:rPr>
          <w:bCs/>
          <w:kern w:val="28"/>
          <w:sz w:val="24"/>
          <w:szCs w:val="24"/>
        </w:rPr>
        <w:t>, Nxb. Đại học Quốc gia, Hà Nội, 2013.</w:t>
      </w:r>
    </w:p>
    <w:p w:rsidR="00B664B8" w:rsidRPr="00787BF1" w:rsidRDefault="00B664B8" w:rsidP="00B664B8">
      <w:pPr>
        <w:numPr>
          <w:ilvl w:val="0"/>
          <w:numId w:val="1"/>
        </w:numPr>
        <w:tabs>
          <w:tab w:val="left" w:pos="567"/>
        </w:tabs>
        <w:spacing w:before="120"/>
        <w:ind w:left="0" w:firstLine="284"/>
        <w:contextualSpacing/>
        <w:jc w:val="both"/>
        <w:rPr>
          <w:bCs/>
          <w:kern w:val="28"/>
          <w:sz w:val="24"/>
          <w:szCs w:val="24"/>
        </w:rPr>
      </w:pPr>
      <w:r w:rsidRPr="00787BF1">
        <w:rPr>
          <w:bCs/>
          <w:kern w:val="28"/>
          <w:sz w:val="24"/>
          <w:szCs w:val="24"/>
        </w:rPr>
        <w:t>Khoa Luật, Đại học Quốc gia Hà Nội,</w:t>
      </w:r>
      <w:r w:rsidRPr="00787BF1">
        <w:rPr>
          <w:bCs/>
          <w:i/>
          <w:kern w:val="28"/>
          <w:sz w:val="24"/>
          <w:szCs w:val="24"/>
        </w:rPr>
        <w:t xml:space="preserve"> Lao động di trú trong pháp luật quốc tế và pháp luật Việt Nam,</w:t>
      </w:r>
      <w:r w:rsidRPr="00787BF1">
        <w:rPr>
          <w:bCs/>
          <w:kern w:val="28"/>
          <w:sz w:val="24"/>
          <w:szCs w:val="24"/>
        </w:rPr>
        <w:t xml:space="preserve"> Nxb. Lao động – Xã hội, Hà Nội, 2011. </w:t>
      </w:r>
    </w:p>
    <w:p w:rsidR="00B664B8" w:rsidRPr="00787BF1" w:rsidRDefault="00B664B8" w:rsidP="00B664B8">
      <w:pPr>
        <w:numPr>
          <w:ilvl w:val="0"/>
          <w:numId w:val="1"/>
        </w:numPr>
        <w:tabs>
          <w:tab w:val="left" w:pos="567"/>
        </w:tabs>
        <w:spacing w:before="120"/>
        <w:ind w:left="0" w:firstLine="284"/>
        <w:contextualSpacing/>
        <w:jc w:val="both"/>
        <w:rPr>
          <w:bCs/>
          <w:kern w:val="28"/>
          <w:sz w:val="24"/>
          <w:szCs w:val="24"/>
        </w:rPr>
      </w:pPr>
      <w:r w:rsidRPr="00787BF1">
        <w:rPr>
          <w:bCs/>
          <w:kern w:val="28"/>
          <w:sz w:val="24"/>
          <w:szCs w:val="24"/>
        </w:rPr>
        <w:t xml:space="preserve">Hội Luật gia Việt Nam, </w:t>
      </w:r>
      <w:r w:rsidRPr="00787BF1">
        <w:rPr>
          <w:bCs/>
          <w:i/>
          <w:kern w:val="28"/>
          <w:sz w:val="24"/>
          <w:szCs w:val="24"/>
        </w:rPr>
        <w:t>Những điều cần biết về người lao động di trú,</w:t>
      </w:r>
      <w:r w:rsidRPr="00787BF1">
        <w:rPr>
          <w:bCs/>
          <w:kern w:val="28"/>
          <w:sz w:val="24"/>
          <w:szCs w:val="24"/>
        </w:rPr>
        <w:t xml:space="preserve"> Nxb. Hồng Đức, Hà Nội, 2008.</w:t>
      </w:r>
    </w:p>
    <w:p w:rsidR="00B664B8" w:rsidRPr="00787BF1" w:rsidRDefault="00B664B8" w:rsidP="00B664B8">
      <w:pPr>
        <w:numPr>
          <w:ilvl w:val="0"/>
          <w:numId w:val="1"/>
        </w:numPr>
        <w:tabs>
          <w:tab w:val="left" w:pos="567"/>
        </w:tabs>
        <w:spacing w:before="120"/>
        <w:ind w:left="0" w:firstLine="284"/>
        <w:contextualSpacing/>
        <w:jc w:val="both"/>
        <w:rPr>
          <w:bCs/>
          <w:kern w:val="28"/>
          <w:sz w:val="24"/>
          <w:szCs w:val="24"/>
        </w:rPr>
      </w:pPr>
      <w:r w:rsidRPr="00787BF1">
        <w:rPr>
          <w:bCs/>
          <w:kern w:val="28"/>
          <w:sz w:val="24"/>
          <w:szCs w:val="24"/>
          <w:shd w:val="clear" w:color="auto" w:fill="FFFFFF"/>
        </w:rPr>
        <w:t> ILO,</w:t>
      </w:r>
      <w:r w:rsidRPr="00787BF1">
        <w:rPr>
          <w:sz w:val="24"/>
          <w:szCs w:val="24"/>
          <w:shd w:val="clear" w:color="auto" w:fill="FFFFFF"/>
        </w:rPr>
        <w:t xml:space="preserve"> </w:t>
      </w:r>
      <w:r w:rsidRPr="00787BF1">
        <w:rPr>
          <w:bCs/>
          <w:i/>
          <w:kern w:val="28"/>
          <w:sz w:val="24"/>
          <w:szCs w:val="24"/>
        </w:rPr>
        <w:t>Addressing governance challenges in a changing labour migration landscape,</w:t>
      </w:r>
      <w:r w:rsidRPr="00787BF1">
        <w:rPr>
          <w:bCs/>
          <w:kern w:val="28"/>
          <w:sz w:val="24"/>
          <w:szCs w:val="24"/>
        </w:rPr>
        <w:t xml:space="preserve"> </w:t>
      </w:r>
      <w:r w:rsidRPr="00787BF1">
        <w:rPr>
          <w:bCs/>
          <w:kern w:val="28"/>
          <w:sz w:val="24"/>
          <w:szCs w:val="24"/>
          <w:shd w:val="clear" w:color="auto" w:fill="FFFFFF"/>
        </w:rPr>
        <w:t>Report IV, International Labour Conference, 106th Session, Geneva, 2017.</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81607"/>
    <w:multiLevelType w:val="hybridMultilevel"/>
    <w:tmpl w:val="9AB6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B8"/>
    <w:rsid w:val="001324E1"/>
    <w:rsid w:val="005630BE"/>
    <w:rsid w:val="00666C5C"/>
    <w:rsid w:val="00A849F3"/>
    <w:rsid w:val="00B6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09078-2C7D-4A9A-863A-1158B074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4B8"/>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B664B8"/>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B664B8"/>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2025-12-15T03:52:00Z</dcterms:created>
  <dcterms:modified xsi:type="dcterms:W3CDTF">2025-12-15T03:52:00Z</dcterms:modified>
</cp:coreProperties>
</file>